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A6" w:rsidRPr="00781EA6" w:rsidRDefault="00781EA6" w:rsidP="00781EA6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both"/>
        <w:rPr>
          <w:rFonts w:eastAsia="Times New Roman" w:cs="Liberation Serif"/>
          <w:color w:val="000000"/>
          <w:sz w:val="20"/>
          <w:szCs w:val="20"/>
          <w:shd w:val="clear" w:color="auto" w:fill="FFFFFF"/>
          <w:lang w:eastAsia="pl-PL"/>
        </w:rPr>
      </w:pPr>
    </w:p>
    <w:p w:rsidR="00781EA6" w:rsidRPr="00781EA6" w:rsidRDefault="00781EA6" w:rsidP="00781EA6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 xml:space="preserve">Regulamin przetargu na sprzedaż samochodu osobowego, </w:t>
      </w:r>
    </w:p>
    <w:p w:rsidR="00781EA6" w:rsidRPr="00781EA6" w:rsidRDefault="00781EA6" w:rsidP="00781EA6">
      <w:pPr>
        <w:tabs>
          <w:tab w:val="right" w:pos="9066"/>
        </w:tabs>
        <w:autoSpaceDE w:val="0"/>
        <w:autoSpaceDN w:val="0"/>
        <w:adjustRightInd w:val="0"/>
        <w:spacing w:after="6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  <w:t>stanowiącego własność Powiatu Jeleniogórskiego</w:t>
      </w:r>
    </w:p>
    <w:p w:rsidR="00781EA6" w:rsidRPr="00781EA6" w:rsidRDefault="00781EA6" w:rsidP="00781EA6">
      <w:pPr>
        <w:tabs>
          <w:tab w:val="right" w:pos="906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tabs>
          <w:tab w:val="right" w:pos="906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§1</w:t>
      </w:r>
    </w:p>
    <w:p w:rsidR="00781EA6" w:rsidRPr="00781EA6" w:rsidRDefault="00781EA6" w:rsidP="00781EA6">
      <w:pPr>
        <w:numPr>
          <w:ilvl w:val="0"/>
          <w:numId w:val="1"/>
        </w:numPr>
        <w:tabs>
          <w:tab w:val="right" w:pos="9066"/>
        </w:tabs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Organizatorem przetargu jest Starostwo Powiatowe w Jeleniej Górze przy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ul. Kochanowskiego 10, 58-500 Jelenia Góra.</w:t>
      </w:r>
    </w:p>
    <w:p w:rsidR="00781EA6" w:rsidRPr="00781EA6" w:rsidRDefault="00781EA6" w:rsidP="00781EA6">
      <w:pPr>
        <w:numPr>
          <w:ilvl w:val="0"/>
          <w:numId w:val="1"/>
        </w:numPr>
        <w:tabs>
          <w:tab w:val="right" w:pos="90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Przedmiotem przetargu jest sprzedaż, stanowiącego własność Powiatu Jeleniogórskiego,  samochodu osobowego marki </w:t>
      </w:r>
      <w:r w:rsidRPr="00781EA6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 xml:space="preserve">Skoda </w:t>
      </w:r>
      <w:proofErr w:type="spellStart"/>
      <w:r w:rsidRPr="00781EA6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>Superb</w:t>
      </w:r>
      <w:proofErr w:type="spellEnd"/>
      <w:r w:rsidRPr="00781EA6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 xml:space="preserve"> </w:t>
      </w:r>
      <w:proofErr w:type="spellStart"/>
      <w:r w:rsidRPr="00781EA6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>Limousine</w:t>
      </w:r>
      <w:proofErr w:type="spellEnd"/>
      <w:r w:rsidRPr="00781EA6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 xml:space="preserve"> Classic 1,9 TDI, 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Nr rejestracyjny: DJ 20850.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§2</w:t>
      </w:r>
    </w:p>
    <w:p w:rsidR="00781EA6" w:rsidRPr="00781EA6" w:rsidRDefault="00781EA6" w:rsidP="00781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Sprzedaż ma charakter publicznego przetargu nieograniczonego.</w:t>
      </w:r>
    </w:p>
    <w:p w:rsidR="00781EA6" w:rsidRPr="00781EA6" w:rsidRDefault="00781EA6" w:rsidP="00781E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 przetargu mogą wziąć udział wszystkie osoby i podmioty, posiadające zdolność do czynności prawnych.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§3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Wszczęcie przetargu następuje poprzez opublikowanie ogłoszenia o przetargu na stronie  internetowej Starostwa Powiatowego w Jeleniej Górze - w Biuletynie Informacji Publicznej oraz na tablicy ogłoszeń w budynku Starostwa.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§4</w:t>
      </w:r>
    </w:p>
    <w:p w:rsidR="00781EA6" w:rsidRPr="00781EA6" w:rsidRDefault="00781EA6" w:rsidP="00781E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Wartość rynkowa samochodu osobowego, o którym mowa w §1, została określona na podstawie sporządzonej przez rzeczoznawcę samochodowego wyceny oraz powiększona o koszty jej opracowania i jest zarazem ceną wywoławczą, która wynosi: </w:t>
      </w:r>
      <w:r w:rsidRPr="00781EA6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>5.350,00 zł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 (słownie złotych: pięć tysięcy trzysta pięćdziesiąt) – Skoda </w:t>
      </w:r>
      <w:proofErr w:type="spellStart"/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Superb</w:t>
      </w:r>
      <w:proofErr w:type="spellEnd"/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 </w:t>
      </w:r>
      <w:proofErr w:type="spellStart"/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Limousine</w:t>
      </w:r>
      <w:proofErr w:type="spellEnd"/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.</w:t>
      </w:r>
    </w:p>
    <w:p w:rsidR="00781EA6" w:rsidRPr="00781EA6" w:rsidRDefault="00781EA6" w:rsidP="00781EA6">
      <w:pPr>
        <w:numPr>
          <w:ilvl w:val="0"/>
          <w:numId w:val="3"/>
        </w:numPr>
        <w:tabs>
          <w:tab w:val="right" w:pos="9066"/>
        </w:tabs>
        <w:autoSpaceDE w:val="0"/>
        <w:autoSpaceDN w:val="0"/>
        <w:adjustRightInd w:val="0"/>
        <w:spacing w:after="6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Sprzedaż nie może nastąpić za cenę niższą od ceny wywoławczej.</w:t>
      </w:r>
    </w:p>
    <w:p w:rsidR="00781EA6" w:rsidRPr="00781EA6" w:rsidRDefault="00781EA6" w:rsidP="00781EA6">
      <w:pPr>
        <w:numPr>
          <w:ilvl w:val="0"/>
          <w:numId w:val="3"/>
        </w:numPr>
        <w:tabs>
          <w:tab w:val="right" w:pos="9066"/>
        </w:tabs>
        <w:autoSpaceDE w:val="0"/>
        <w:autoSpaceDN w:val="0"/>
        <w:adjustRightInd w:val="0"/>
        <w:spacing w:after="60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Samochód wymieniony  w § 4 ust. 1 jest bezwypadkowy, lecz niesprawny technicznie, z powodu uszkodzonej instalacji elektrycznej, w którym wada wystąpiła już po wycenie rzeczoznawcy.  Opinia rzeczoznawcy jest dostępna w siedzibie Starostwa.  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§5</w:t>
      </w:r>
    </w:p>
    <w:p w:rsidR="00781EA6" w:rsidRPr="00781EA6" w:rsidRDefault="00781EA6" w:rsidP="00781E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Oferta pod rygorem nieważności powinna być sporządzona w formie pisemnej i musi zawierać:</w:t>
      </w:r>
    </w:p>
    <w:p w:rsidR="00781EA6" w:rsidRPr="00781EA6" w:rsidRDefault="00781EA6" w:rsidP="00781E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wypełniony formularz oferty,</w:t>
      </w:r>
    </w:p>
    <w:p w:rsidR="00781EA6" w:rsidRPr="00781EA6" w:rsidRDefault="00781EA6" w:rsidP="00781E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zaparafowany wzór umowy,</w:t>
      </w:r>
    </w:p>
    <w:p w:rsidR="00781EA6" w:rsidRPr="00781EA6" w:rsidRDefault="00781EA6" w:rsidP="00781E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dowód wniesienia wadium,</w:t>
      </w:r>
    </w:p>
    <w:p w:rsidR="00781EA6" w:rsidRPr="00781EA6" w:rsidRDefault="00781EA6" w:rsidP="00781E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klauzulę informacyjną RODO,</w:t>
      </w:r>
    </w:p>
    <w:p w:rsidR="00781EA6" w:rsidRPr="00781EA6" w:rsidRDefault="00781EA6" w:rsidP="00781E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oświadczenie oferenta.</w:t>
      </w:r>
    </w:p>
    <w:p w:rsidR="00781EA6" w:rsidRPr="00781EA6" w:rsidRDefault="00781EA6" w:rsidP="00781E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Ewentualne poprawki w ofercie muszą być naniesione czytelnie i winny być opatrzone podpisem osoby/osób podpisujących ofertę.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§6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Warunkiem dopuszczenia do przetargu jest wniesienie wadium w wysokości 10% wartości ceny wywoławczej, tj. w wysokości: </w:t>
      </w:r>
      <w:r w:rsidRPr="00781EA6">
        <w:rPr>
          <w:rFonts w:eastAsia="Times New Roman" w:cs="Liberation Serif"/>
          <w:b/>
          <w:bCs/>
          <w:szCs w:val="24"/>
          <w:shd w:val="clear" w:color="auto" w:fill="FFFFFF"/>
          <w:lang w:eastAsia="pl-PL"/>
        </w:rPr>
        <w:t>535,00 zł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 (słownie złotych:  pięćset trzydzieści pięć).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Wadium należy wnieść przelewem do dnia 17 lipca 2020 r  na rachunek bankowy sprzedającego w banku Getin Noble Bank S. A. nr 79 1560 0013 2972 6951 8000 0008, z dopiskiem na blankiecie przelewu „Wadium przetargowe na zakup samochodu osobowego nr ……………………………….. o nr rejestracyjnym ………………”. 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Prawidłowo wpłacone wadium to wadium, które zostanie zaksięgowane na koncie sprzedającego, gdy wpłacone będzie do 17 lipca 2020 r.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Oferent powinien wpłacić wadium odpowiednio wcześniej, aby kwota mogła być zaksięgowana do dnia wymaganego przez sprzedającego.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Potwierdzeniem wpłaty wadium będzie kopia przelewu załączona do oferty.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lastRenderedPageBreak/>
        <w:t>Wadium złożone przez oferentów, których oferty nie zostaną wybrane lub zostaną odrzucone, zostanie zwrócone po dokonaniu wyboru oferty w terminie 7 dni od dnia rozstrzygnięcia przetargu.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Wadium złożone przez oferenta nabywającego pojazd zostanie zaliczone na poczet ceny nabycia.</w:t>
      </w:r>
    </w:p>
    <w:p w:rsidR="00781EA6" w:rsidRPr="00781EA6" w:rsidRDefault="00781EA6" w:rsidP="00781E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Wadium przepada na rzecz sprzedającego, jeżeli oferent którego oferta została wybrana uchyli się od zawarcia umowy.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§7</w:t>
      </w:r>
    </w:p>
    <w:p w:rsidR="00781EA6" w:rsidRPr="00781EA6" w:rsidRDefault="00781EA6" w:rsidP="00781E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Ofertę należy złożyć do dnia 17 lipca 2020 r  do godz. 14</w:t>
      </w:r>
      <w:r w:rsidRPr="00781EA6">
        <w:rPr>
          <w:rFonts w:eastAsia="Times New Roman" w:cs="Liberation Serif"/>
          <w:szCs w:val="24"/>
          <w:shd w:val="clear" w:color="auto" w:fill="FFFFFF"/>
          <w:vertAlign w:val="superscript"/>
          <w:lang w:eastAsia="pl-PL"/>
        </w:rPr>
        <w:t>00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 w Starostwie Powiatowym w Jeleniej Górze, ul. Kochanowskiego 10, 58-500 Jelenia Góra, w pokoju nr 7 na parterze (Punkt Kancelaryjny). </w:t>
      </w:r>
    </w:p>
    <w:p w:rsidR="00781EA6" w:rsidRPr="00781EA6" w:rsidRDefault="00781EA6" w:rsidP="00781E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Koperta powinna być opatrzona napisem „Oferta przetargowa na zakup samochodu osobowego”.</w:t>
      </w:r>
    </w:p>
    <w:p w:rsidR="00781EA6" w:rsidRPr="00781EA6" w:rsidRDefault="00781EA6" w:rsidP="00781E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Oferty złożone po terminie zostaną zwrócone bez rozpatrzenia.</w:t>
      </w:r>
    </w:p>
    <w:p w:rsidR="00781EA6" w:rsidRPr="00781EA6" w:rsidRDefault="00781EA6" w:rsidP="00781E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Termin związania ofertą sprzedający określa na 30 dni od daty otwarcia przetargu.</w:t>
      </w:r>
    </w:p>
    <w:p w:rsidR="00781EA6" w:rsidRPr="00781EA6" w:rsidRDefault="00781EA6" w:rsidP="00781E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Do odbycia przetargu wystarczy złożenie jednej oferty, spełniającej wszystkie wymagania, wynikające z niniejszego regulaminu.</w:t>
      </w:r>
    </w:p>
    <w:p w:rsidR="00781EA6" w:rsidRPr="00781EA6" w:rsidRDefault="00781EA6" w:rsidP="00781EA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 ważności oferty decyduje data i godzina wpływu oferty do Starostwa Powiatowego w Jeleniej Górze, a nie data jej wysłania przesyłką pocztową lub kurierską.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§8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Oferent może wycofać ofertę przed upływem terminu składania ofert.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§9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Komisja przetargowa w imieniu sprzedającego przeprowadza postępowanie przetargowe,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a w szczególności:</w:t>
      </w:r>
    </w:p>
    <w:p w:rsidR="00781EA6" w:rsidRPr="00781EA6" w:rsidRDefault="00781EA6" w:rsidP="00781E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stwierdza prawidłowość ogłoszenia przetargu,</w:t>
      </w:r>
    </w:p>
    <w:p w:rsidR="00781EA6" w:rsidRPr="00781EA6" w:rsidRDefault="00781EA6" w:rsidP="00781E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ustala liczbę zgłoszonych ofert oraz sprawdza wniesienie wymaganego wadium,</w:t>
      </w:r>
    </w:p>
    <w:p w:rsidR="00781EA6" w:rsidRPr="00781EA6" w:rsidRDefault="00781EA6" w:rsidP="00781E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otwiera koperty z ofertami, złożonymi w terminie i miejscu wskazanym w ogłoszeniu o przetargu,</w:t>
      </w:r>
    </w:p>
    <w:p w:rsidR="00781EA6" w:rsidRPr="00781EA6" w:rsidRDefault="00781EA6" w:rsidP="00781E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wyłania oferenta, który zaoferował najwyższą cenę,</w:t>
      </w:r>
    </w:p>
    <w:p w:rsidR="00781EA6" w:rsidRPr="00781EA6" w:rsidRDefault="00781EA6" w:rsidP="00781EA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sporządza protokół z przebiegu przetargu.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§10</w:t>
      </w:r>
    </w:p>
    <w:p w:rsidR="00781EA6" w:rsidRPr="00781EA6" w:rsidRDefault="00781EA6" w:rsidP="00781E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Otwarcie ofert odbędzie się w dniu 20 lipca 2020 r o godz. 10</w:t>
      </w:r>
      <w:r w:rsidRPr="00781EA6">
        <w:rPr>
          <w:rFonts w:eastAsia="Times New Roman" w:cs="Liberation Serif"/>
          <w:szCs w:val="24"/>
          <w:shd w:val="clear" w:color="auto" w:fill="FFFFFF"/>
          <w:vertAlign w:val="superscript"/>
          <w:lang w:eastAsia="pl-PL"/>
        </w:rPr>
        <w:t>00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 w siedzibie sprzedającego tj. w Starostwie Powiatowym w Jeleniej Górze, ul. Kochanowskiego 10,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58-500 Jelenia Góra, sala nr 2.08 na II piętrze (Transgraniczne Centrum Zarządzania Kryzysowego).</w:t>
      </w:r>
    </w:p>
    <w:p w:rsidR="00781EA6" w:rsidRPr="00781EA6" w:rsidRDefault="00781EA6" w:rsidP="00781E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Oferty rozpatrywać będzie komisja przetargowa, powołana uchwałą Zarządu Powiatu.</w:t>
      </w:r>
    </w:p>
    <w:p w:rsidR="00781EA6" w:rsidRPr="00781EA6" w:rsidRDefault="00781EA6" w:rsidP="00781E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Otwarcie ofert stanowi jawną część przetargu.</w:t>
      </w:r>
    </w:p>
    <w:p w:rsidR="00781EA6" w:rsidRPr="00781EA6" w:rsidRDefault="00781EA6" w:rsidP="00781E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Oferentom przysługuje prawo wzięcia udziału w posiedzeniu komisji przetargowej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 xml:space="preserve">w części dotyczącej otwarcia ofert. </w:t>
      </w:r>
    </w:p>
    <w:p w:rsidR="00781EA6" w:rsidRPr="00781EA6" w:rsidRDefault="00781EA6" w:rsidP="00781E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Ocena ofert odbywa się bez udziału oferentów i stanowi część niejawną przetargu.</w:t>
      </w:r>
    </w:p>
    <w:p w:rsidR="00781EA6" w:rsidRPr="00781EA6" w:rsidRDefault="00781EA6" w:rsidP="00781EA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 części niejawnej komisja dokona sprawdzenia kompletności ofert i dokona wyboru oferty najkorzystniejszej.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§11</w:t>
      </w:r>
    </w:p>
    <w:p w:rsidR="00781EA6" w:rsidRPr="00781EA6" w:rsidRDefault="00781EA6" w:rsidP="00781E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Oferta złożona w przetargu zostanie odrzucona jeżeli:</w:t>
      </w:r>
    </w:p>
    <w:p w:rsidR="00781EA6" w:rsidRPr="00781EA6" w:rsidRDefault="00781EA6" w:rsidP="00781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jest niezgodna z treścią ogłoszenia o przetargu, </w:t>
      </w:r>
    </w:p>
    <w:p w:rsidR="00781EA6" w:rsidRPr="00781EA6" w:rsidRDefault="00781EA6" w:rsidP="00781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do oferty nie dołączono dokumentów, o których mowa w §5 ust. 1 niniejszego regulaminu,</w:t>
      </w:r>
    </w:p>
    <w:p w:rsidR="00781EA6" w:rsidRPr="00781EA6" w:rsidRDefault="00781EA6" w:rsidP="00781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nie została podpisana przez oferenta lub osobę upoważnioną do jego reprezentowania,</w:t>
      </w:r>
    </w:p>
    <w:p w:rsidR="00781EA6" w:rsidRPr="00781EA6" w:rsidRDefault="00781EA6" w:rsidP="00781EA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dokumenty dołączone do oferty są niekompletne, nieczytelne lub budzą inną wątpliwość.</w:t>
      </w:r>
    </w:p>
    <w:p w:rsidR="00781EA6" w:rsidRPr="00781EA6" w:rsidRDefault="00781EA6" w:rsidP="00781E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lastRenderedPageBreak/>
        <w:t>O odrzuceniu oferty komisja przetargowa zawiadamia niezwłocznie oferenta, którego oferta została odrzucona.</w:t>
      </w:r>
    </w:p>
    <w:p w:rsidR="00781EA6" w:rsidRPr="00781EA6" w:rsidRDefault="00781EA6" w:rsidP="00781EA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Oferty, w których zaproponowano cenę nabycia poniżej ceny wywoławczej nie będą rozpatrywane.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§12</w:t>
      </w:r>
    </w:p>
    <w:p w:rsidR="00781EA6" w:rsidRPr="00781EA6" w:rsidRDefault="00781EA6" w:rsidP="00781E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Przetarg wygra oferent, który złoży ofertę spełniającą wymagania formalne sprzedającego oraz zaoferuje najwyższą cenę nabycia, nie niższą niż cena wywoławcza.</w:t>
      </w:r>
    </w:p>
    <w:p w:rsidR="00781EA6" w:rsidRPr="00781EA6" w:rsidRDefault="00781EA6" w:rsidP="00781EA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Jeżeli oferent, którego oferta zostanie wybrana, uchyla się od zawarcia umowy, sprzedający może wybrać ofertę najkorzystniejszą spośród pozostałych ofert bez przeprowadzania ich ponownego badania i oceny.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§13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 przypadku stwierdzenia, że co najmniej dwóch oferentów, których oferty odpowiadają wymaganiom formalnym sprzedającego, określonym w regulaminie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i ogłoszeniu o przetargu, zaproponowało najwyższą cenę w tej samej wysokości, komisja przetargowa postanawia o kontynuowaniu przetargu w formie aukcji między tymi oferentami, a ceną wywoławczą jest cena zaproponowana w tych ofertach.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Oferenci, o których mowa w ust. 1, są informowani pisemnie i telefonicznie lub za pomocą poczty elektronicznej o terminie i miejscu aukcji, o minimalnej wysokości postąpień, które wynoszą 100,00 zł brutto (słownie: sto złotych brutto).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Przed przystąpieniem do aukcji komisja przetargowa sprawdza na podstawie dokumentów tożsamości i ewentualnie pełnomocnictw, czy osoby, które się stawiły na aukcję, są uprawnione do wzięcia w niej udziału. Osoby te zobowiązane są do wpisania się na listę obecności.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Aukcję prowadzi przewodniczący komisji przetargowej albo inny członek komisji przetargowej wyznaczony przez Starostę Jeleniogórskiego.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Aukcja rozpoczyna się od podania przez jej prowadzącego ceny wywoławczej, określonej w złożonych ofertach, a następnie oferenci proponują swoje postąpienia. Zaoferowana cena przestaje wiązać oferenta, gdy inny oferent zaoferował cenę wyższą.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Po ustaniu zgłaszania postąpień prowadzący aukcję, informuje o zamknięciu aukcji 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i udziela przybicia oferentowi, który zaoferował najwyższą cenę.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Z chwilą przybicia następuje zawarcie umowy sprzedaży.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Podpisanie umowy sprzedaży może nastąpić w dniu przeprowadzenia aukcji. 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Nabywca jest zobowiązany zapłacić cenę nabycia w dniu zawarcia umowy.</w:t>
      </w:r>
    </w:p>
    <w:p w:rsidR="00781EA6" w:rsidRPr="00781EA6" w:rsidRDefault="00781EA6" w:rsidP="00781EA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Komisja przetargowa sporządza protokół z przebiegu aukcji.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§14</w:t>
      </w:r>
    </w:p>
    <w:p w:rsidR="00781EA6" w:rsidRPr="00781EA6" w:rsidRDefault="00781EA6" w:rsidP="00781E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Sprzedawca z chwilą podpisania umowy sprzedaży składa oświadczenie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o wypowiedzeniu umowy ubezpieczenia OC.</w:t>
      </w:r>
    </w:p>
    <w:p w:rsidR="00781EA6" w:rsidRPr="00781EA6" w:rsidRDefault="00781EA6" w:rsidP="00781EA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Wszelkie koszty związane z zakupem samochodu obciążają nabywcę.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§15</w:t>
      </w:r>
    </w:p>
    <w:p w:rsidR="00781EA6" w:rsidRPr="00781EA6" w:rsidRDefault="00781EA6" w:rsidP="00781E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Sprzedający zastrzega sobie prawo odwołania przetargu, przesunięcia terminu lub nie dokonania wyboru oferty bez podania przyczyny. W takim przypadku wpłacone wadium zostanie zwrócone niezwłocznie.</w:t>
      </w:r>
    </w:p>
    <w:p w:rsidR="00781EA6" w:rsidRPr="00781EA6" w:rsidRDefault="00781EA6" w:rsidP="00781E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 razie unieważnienia przetargu oferentom nie przysługują żadne roszczenia wobec sprzedającego.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§16</w:t>
      </w:r>
    </w:p>
    <w:p w:rsidR="00781EA6" w:rsidRPr="00781EA6" w:rsidRDefault="00781EA6" w:rsidP="00781E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Z przebiegu prac komisji przetargowej sporządza się protokół.</w:t>
      </w:r>
    </w:p>
    <w:p w:rsidR="00781EA6" w:rsidRPr="00781EA6" w:rsidRDefault="00781EA6" w:rsidP="00781EA6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Treść protokołu zawiera wszystkie informacje dotyczące przebiegu przetargu,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w szczególności informacje o ilości złożonych ofert, wyniku sprawdzania ważności ofert i ewentualnym odrzuceniu ofert, wyborze najkorzystniejszej oferty, zamknięciu przetargu bez wyboru którejkolwiek z ofert, odwołaniu lub unieważnieniu przetargu.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§17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Zbywane pojazdy można obejrzeć w obecności pracownika Starostwa Powiatowego</w:t>
      </w:r>
      <w:r w:rsidRPr="00781EA6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w Jeleniej Górze po wcześniejszym uzgodnieniu telefonicznym w terminie od dnia ogłoszenia przetargu do dnia 17 lipca 2020 r oraz zapoznać się z wycenami opracowanymi przez rzeczoznawcę.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§18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Informacja o wyniku postępowania przetargowego, dotyczącego sprzedaży samochodów osobowych, zostanie opublikowana na stronie Biuletynu Informacji Publicznej oraz  wywieszona w siedzibie Starostwa Powiatowego w Jeleniej Górze, a ponadto zostanie przesłana w formie pisemnej do oferentów.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§19</w:t>
      </w:r>
    </w:p>
    <w:p w:rsidR="00781EA6" w:rsidRPr="00781EA6" w:rsidRDefault="00781EA6" w:rsidP="00781E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Każdy z oferentów jest związany treścią niniejszego Regulaminu oraz postanowieniami ogłoszenia o przetargu.</w:t>
      </w:r>
    </w:p>
    <w:p w:rsidR="00781EA6" w:rsidRPr="00781EA6" w:rsidRDefault="00781EA6" w:rsidP="00781E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 sprawach nieuregulowanych w niniejszym Regulaminie stosuje się przepisy Kodeksu Cywilnego.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§20</w:t>
      </w:r>
    </w:p>
    <w:p w:rsidR="00781EA6" w:rsidRPr="00781EA6" w:rsidRDefault="00781EA6" w:rsidP="00781EA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t>Zgodnie z art. 13 ust. 1 i ust. 2 rozporządzenia Parlamentu Europejskiego i Rady (UE) 2016/679 z dnia 27 kwietnia 2016 r. w sprawie ochrony osób fizycznych w związku</w:t>
      </w:r>
      <w:r w:rsidRPr="00781EA6"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  <w:br/>
        <w:t>z przetwarzaniem danych osobowych i w sprawie swobodnego przepływu takich danych oraz uchylenia dyrektywy 95/46/WE, zwanego dalej RODO, informuje, że: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Administratorem Pani/Pana danych osobowych jest: Starosta Jeleniogórski z siedzibą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przy ul. Kochanowskiego 10, 58-500 Jelenia Góra.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Pani/Pana dane osobowe przetwarzane będą w celu, w jakim administrator je od Pani/Pana pozyskał i w zakresie niezbędnym do:</w:t>
      </w:r>
    </w:p>
    <w:p w:rsidR="00781EA6" w:rsidRPr="00781EA6" w:rsidRDefault="00781EA6" w:rsidP="00781EA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wypełnienia obowiązku prawnego ciążącego na administratorze (art. 6 ust. 1 lit. c RODO);</w:t>
      </w:r>
    </w:p>
    <w:p w:rsidR="00781EA6" w:rsidRPr="00781EA6" w:rsidRDefault="00781EA6" w:rsidP="00781EA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wykonania zadania realizowanego w interesie publicznym lub w ramach sprawowania władzy publicznej powierzonej administratorowi (art. 6 ust. 1 lit. e RODO);</w:t>
      </w:r>
    </w:p>
    <w:p w:rsidR="00781EA6" w:rsidRPr="00781EA6" w:rsidRDefault="00781EA6" w:rsidP="00781EA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realizacji celu w jakim Pani/Pan wyraziła/wyraził zgodę na przetwarzanie swoich danych osobowych (art. 6 ust. 1 lit. a RODO) lub wyraźną zgodę na przetwarzanie swoich danych osobowych wskazanych w art. 9 ust. 1 RODO (art. 9 ust. 2 lit. a RODO);</w:t>
      </w:r>
    </w:p>
    <w:p w:rsidR="00781EA6" w:rsidRPr="00781EA6" w:rsidRDefault="00781EA6" w:rsidP="00781EA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wykonania umowy, której Pani/Pan jest stroną lub do podjęcia działań na Pani/Pana żądanie przed zawarciem umowy (art. 6 ust. 1 lit. b RODO);</w:t>
      </w:r>
    </w:p>
    <w:p w:rsidR="00781EA6" w:rsidRPr="00781EA6" w:rsidRDefault="00781EA6" w:rsidP="00781EA6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ochrony żywotnych interesów Pani/Pana lub innej osoby fizycznej (art. 6 ust. 1 lit. d RODO).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Odbiorcami Pani/Pana danych osobowych mogą być organy i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 windykacyjnych oraz pomocy prawnej oraz podmioty przetwarzające, z którymi administrator zawarł umowy powierzenia przetwarzania danych.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Pani/Pana dane nie będą przekazywane do państwa trzeciego/organizacji międzynarodowej.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Pani/Pana dane osobowe będą przetwarzane w ramach dokumentacji prowadzonej przez Administratora w formie papierowej i elektronicznej na podstawie przepisów prawa 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lastRenderedPageBreak/>
        <w:t>dotyczących archiwizacji, przez okres niezbędny do realizacji celów przetwarzania, wskazanych w pkt 3, lecz nie krócej niż okres wskazany w przepisach o archiwizacji. Oznacza to, że dane osobowe mogą zostać zniszczone po upływie od 5 do 50 lat, zależnie od kategorii archiwalnej danej sprawy.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Informujemy, że przysługują Panu/Pani następujące prawa dotyczące danych osobowych:</w:t>
      </w:r>
    </w:p>
    <w:p w:rsidR="00781EA6" w:rsidRPr="00781EA6" w:rsidRDefault="00781EA6" w:rsidP="00781E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bookmarkStart w:id="0" w:name="_GoBack"/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dostępu do treści swoich danych,</w:t>
      </w:r>
    </w:p>
    <w:p w:rsidR="00781EA6" w:rsidRPr="00781EA6" w:rsidRDefault="00781EA6" w:rsidP="00781E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sprostowania danych,</w:t>
      </w:r>
    </w:p>
    <w:p w:rsidR="00781EA6" w:rsidRPr="00781EA6" w:rsidRDefault="00781EA6" w:rsidP="00781E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usunięcia danych (tylko, gdzie za zgodą – 6a),</w:t>
      </w:r>
    </w:p>
    <w:p w:rsidR="00781EA6" w:rsidRPr="00781EA6" w:rsidRDefault="00781EA6" w:rsidP="00781E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ograniczenia przetwarzania danych,</w:t>
      </w:r>
    </w:p>
    <w:p w:rsidR="00781EA6" w:rsidRPr="00781EA6" w:rsidRDefault="00781EA6" w:rsidP="00781E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przenoszenia danych (tylko, gdzie za zgodą – 6a),</w:t>
      </w:r>
    </w:p>
    <w:p w:rsidR="00781EA6" w:rsidRPr="00781EA6" w:rsidRDefault="00781EA6" w:rsidP="00781E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prawo do wniesienia sprzeciwu,</w:t>
      </w:r>
    </w:p>
    <w:p w:rsidR="00781EA6" w:rsidRPr="00781EA6" w:rsidRDefault="00781EA6" w:rsidP="00781EA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prawo do cofnięcia zgody (tylko, gdzie za zgodą – 6a) w dowolnym momencie bez wpływu na zgodność z prawem przetwarzania, którego dokonano na podstawie zgody przed jej cofnięciem.</w:t>
      </w:r>
    </w:p>
    <w:bookmarkEnd w:id="0"/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Ma Pan/Pani prawo wniesienia skargi do Urzędu Ochrony Danych Osobowych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w Warszawie, ul. Stawki 2, 00-192 Warszawa, w sytuacji gdy uzna Pani/Pan,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iż przetwarzanie danych osobowych Pani/Pana dotyczących narusza przepisy ogólnego rozporządzenia o ochronie danych osobowych z dnia 27 kwietnia 2016 r.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Jeżeli przetwarzanie Pani/Pana danych osobowych odbywa się na podstawie wyrażonej 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przez Panią/Pana zgody, ma Pani/Pan prawo do cofnięcia tej zgody w dowolnym momencie, jednak bez wpływu na zgodność z prawem przetwarzania, którego dokonano na podstawie zgody przed jej cofnięciem.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Podanie przez Panią/Pana swoich danych osobowych jest:</w:t>
      </w:r>
    </w:p>
    <w:p w:rsidR="00781EA6" w:rsidRPr="00781EA6" w:rsidRDefault="00781EA6" w:rsidP="00781E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realizacji Pani/Pana interesu prawnego;</w:t>
      </w:r>
    </w:p>
    <w:p w:rsidR="00781EA6" w:rsidRPr="00781EA6" w:rsidRDefault="00781EA6" w:rsidP="00781E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:rsidR="00781EA6" w:rsidRPr="00781EA6" w:rsidRDefault="00781EA6" w:rsidP="00781E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warunkiem zawarcia umowy, w przypadku, kiedy celem, w jakim Pani/Pan je podaje, 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 xml:space="preserve">jest zawarcie umowy. W takim przypadku jest Pani/Pan zobowiązana/zobowiązany </w:t>
      </w: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br/>
        <w:t>do ich podania, a ewentualne ich niepodanie będzie skutkowało nie zawarciem umowy;</w:t>
      </w:r>
    </w:p>
    <w:p w:rsidR="00781EA6" w:rsidRPr="00781EA6" w:rsidRDefault="00781EA6" w:rsidP="00781EA6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3"/>
        <w:contextualSpacing/>
        <w:jc w:val="both"/>
        <w:rPr>
          <w:rFonts w:eastAsia="Times New Roman" w:cs="Liberation Serif"/>
          <w:color w:val="000000"/>
          <w:szCs w:val="24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:rsidR="00781EA6" w:rsidRPr="00781EA6" w:rsidRDefault="00781EA6" w:rsidP="00781E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firstLine="0"/>
        <w:contextualSpacing/>
        <w:jc w:val="both"/>
        <w:rPr>
          <w:rFonts w:ascii="Calibri" w:eastAsia="Times New Roman" w:hAnsi="Calibri" w:cs="Calibri"/>
          <w:color w:val="000000"/>
          <w:sz w:val="22"/>
          <w:shd w:val="clear" w:color="auto" w:fill="FFFFFF"/>
          <w:lang w:eastAsia="pl-PL"/>
        </w:rPr>
      </w:pPr>
      <w:r w:rsidRPr="00781EA6">
        <w:rPr>
          <w:rFonts w:eastAsia="Times New Roman" w:cs="Liberation Serif"/>
          <w:szCs w:val="24"/>
          <w:shd w:val="clear" w:color="auto" w:fill="FFFFFF"/>
          <w:lang w:eastAsia="pl-PL"/>
        </w:rPr>
        <w:t xml:space="preserve"> W oparciu o zebrane dane osobowe Administrator nie będzie podejmował wobec Pana/Pani zautomatyzowanych decyzji, w tym decyzji będących wynikiem profilowania.</w:t>
      </w:r>
    </w:p>
    <w:p w:rsidR="00D51AC8" w:rsidRDefault="00D51AC8"/>
    <w:sectPr w:rsidR="00D51AC8" w:rsidSect="008F485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D1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670378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06FD45E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A045E7C"/>
    <w:multiLevelType w:val="hybridMultilevel"/>
    <w:tmpl w:val="2D407CC0"/>
    <w:lvl w:ilvl="0" w:tplc="C27C8FFA">
      <w:start w:val="1"/>
      <w:numFmt w:val="decimal"/>
      <w:lvlText w:val="%1."/>
      <w:lvlJc w:val="left"/>
      <w:pPr>
        <w:ind w:left="420" w:hanging="360"/>
      </w:pPr>
      <w:rPr>
        <w:rFonts w:ascii="Liberation Serif" w:hAnsi="Liberation Serif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color w:val="000000"/>
      </w:rPr>
    </w:lvl>
  </w:abstractNum>
  <w:abstractNum w:abstractNumId="4" w15:restartNumberingAfterBreak="0">
    <w:nsid w:val="0E0D363E"/>
    <w:multiLevelType w:val="hybridMultilevel"/>
    <w:tmpl w:val="FFFFFFFF"/>
    <w:lvl w:ilvl="0" w:tplc="F6082E60">
      <w:start w:val="1"/>
      <w:numFmt w:val="decimal"/>
      <w:lvlText w:val="%1."/>
      <w:lvlJc w:val="left"/>
      <w:pPr>
        <w:ind w:left="71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color w:val="000000"/>
      </w:rPr>
    </w:lvl>
  </w:abstractNum>
  <w:abstractNum w:abstractNumId="5" w15:restartNumberingAfterBreak="0">
    <w:nsid w:val="118C6E4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12184F61"/>
    <w:multiLevelType w:val="hybridMultilevel"/>
    <w:tmpl w:val="FFFFFFFF"/>
    <w:lvl w:ilvl="0" w:tplc="097C3EBA">
      <w:start w:val="1"/>
      <w:numFmt w:val="lowerLetter"/>
      <w:lvlText w:val="%1)"/>
      <w:lvlJc w:val="left"/>
      <w:pPr>
        <w:ind w:left="994" w:hanging="71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12504A3C"/>
    <w:multiLevelType w:val="hybridMultilevel"/>
    <w:tmpl w:val="FFFFFFFF"/>
    <w:lvl w:ilvl="0" w:tplc="C9821EFC">
      <w:start w:val="1"/>
      <w:numFmt w:val="decimal"/>
      <w:lvlText w:val="%1."/>
      <w:lvlJc w:val="left"/>
      <w:pPr>
        <w:ind w:left="71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color w:val="000000"/>
      </w:rPr>
    </w:lvl>
  </w:abstractNum>
  <w:abstractNum w:abstractNumId="8" w15:restartNumberingAfterBreak="0">
    <w:nsid w:val="16254B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9" w15:restartNumberingAfterBreak="0">
    <w:nsid w:val="1F4426A0"/>
    <w:multiLevelType w:val="hybridMultilevel"/>
    <w:tmpl w:val="1326FB3A"/>
    <w:lvl w:ilvl="0" w:tplc="E716D17A">
      <w:start w:val="1"/>
      <w:numFmt w:val="lowerLetter"/>
      <w:lvlText w:val="%1)"/>
      <w:lvlJc w:val="left"/>
      <w:pPr>
        <w:ind w:left="994" w:hanging="710"/>
      </w:pPr>
      <w:rPr>
        <w:rFonts w:ascii="Liberation Serif" w:hAnsi="Liberation Serif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35CA4A6E"/>
    <w:multiLevelType w:val="hybridMultilevel"/>
    <w:tmpl w:val="FFFFFFFF"/>
    <w:lvl w:ilvl="0" w:tplc="3EF6E2D6">
      <w:start w:val="1"/>
      <w:numFmt w:val="lowerLetter"/>
      <w:lvlText w:val="%1)"/>
      <w:lvlJc w:val="left"/>
      <w:pPr>
        <w:ind w:left="71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color w:val="000000"/>
      </w:rPr>
    </w:lvl>
  </w:abstractNum>
  <w:abstractNum w:abstractNumId="11" w15:restartNumberingAfterBreak="0">
    <w:nsid w:val="41842E22"/>
    <w:multiLevelType w:val="hybridMultilevel"/>
    <w:tmpl w:val="FFFFFFFF"/>
    <w:lvl w:ilvl="0" w:tplc="9E20D330">
      <w:start w:val="1"/>
      <w:numFmt w:val="decimal"/>
      <w:lvlText w:val="%1."/>
      <w:lvlJc w:val="left"/>
      <w:pPr>
        <w:ind w:left="71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color w:val="000000"/>
      </w:rPr>
    </w:lvl>
  </w:abstractNum>
  <w:abstractNum w:abstractNumId="12" w15:restartNumberingAfterBreak="0">
    <w:nsid w:val="456E441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46F0242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48970F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 w15:restartNumberingAfterBreak="0">
    <w:nsid w:val="4B50042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6" w15:restartNumberingAfterBreak="0">
    <w:nsid w:val="59D50BB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7" w15:restartNumberingAfterBreak="0">
    <w:nsid w:val="5B68646C"/>
    <w:multiLevelType w:val="hybridMultilevel"/>
    <w:tmpl w:val="FFFFFFFF"/>
    <w:lvl w:ilvl="0" w:tplc="097C3EBA">
      <w:start w:val="1"/>
      <w:numFmt w:val="lowerLetter"/>
      <w:lvlText w:val="%1)"/>
      <w:lvlJc w:val="left"/>
      <w:pPr>
        <w:ind w:left="994" w:hanging="71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8" w15:restartNumberingAfterBreak="0">
    <w:nsid w:val="618B58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9" w15:restartNumberingAfterBreak="0">
    <w:nsid w:val="63207EE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0" w15:restartNumberingAfterBreak="0">
    <w:nsid w:val="6AC435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1" w15:restartNumberingAfterBreak="0">
    <w:nsid w:val="6EE64EEF"/>
    <w:multiLevelType w:val="hybridMultilevel"/>
    <w:tmpl w:val="FFFFFFFF"/>
    <w:lvl w:ilvl="0" w:tplc="40068B68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color w:val="000000"/>
      </w:rPr>
    </w:lvl>
  </w:abstractNum>
  <w:abstractNum w:abstractNumId="22" w15:restartNumberingAfterBreak="0">
    <w:nsid w:val="7E7B764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12"/>
  </w:num>
  <w:num w:numId="9">
    <w:abstractNumId w:val="21"/>
  </w:num>
  <w:num w:numId="10">
    <w:abstractNumId w:val="4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14"/>
  </w:num>
  <w:num w:numId="16">
    <w:abstractNumId w:val="5"/>
  </w:num>
  <w:num w:numId="17">
    <w:abstractNumId w:val="15"/>
  </w:num>
  <w:num w:numId="18">
    <w:abstractNumId w:val="22"/>
  </w:num>
  <w:num w:numId="19">
    <w:abstractNumId w:val="8"/>
  </w:num>
  <w:num w:numId="20">
    <w:abstractNumId w:val="6"/>
  </w:num>
  <w:num w:numId="21">
    <w:abstractNumId w:val="1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A6"/>
    <w:rsid w:val="00781EA6"/>
    <w:rsid w:val="00AC77E3"/>
    <w:rsid w:val="00D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F03A"/>
  <w15:chartTrackingRefBased/>
  <w15:docId w15:val="{4A0B598A-C284-41C3-BE20-81D0A43C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1EA6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color w:val="000000"/>
      <w:sz w:val="22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Dagmara</dc:creator>
  <cp:keywords/>
  <dc:description/>
  <cp:lastModifiedBy>Mazur Dagmara</cp:lastModifiedBy>
  <cp:revision>1</cp:revision>
  <dcterms:created xsi:type="dcterms:W3CDTF">2020-07-15T13:23:00Z</dcterms:created>
  <dcterms:modified xsi:type="dcterms:W3CDTF">2020-07-15T13:27:00Z</dcterms:modified>
</cp:coreProperties>
</file>